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3C" w:rsidRPr="00D114A3" w:rsidRDefault="002A513C" w:rsidP="00BF31A6">
      <w:pPr>
        <w:spacing w:after="0" w:line="240" w:lineRule="auto"/>
        <w:rPr>
          <w:rFonts w:asciiTheme="majorHAnsi" w:hAnsiTheme="majorHAnsi"/>
          <w:b/>
          <w:sz w:val="32"/>
          <w:szCs w:val="28"/>
        </w:rPr>
      </w:pPr>
      <w:bookmarkStart w:id="0" w:name="_GoBack"/>
      <w:r w:rsidRPr="00D114A3">
        <w:rPr>
          <w:rFonts w:asciiTheme="majorHAnsi" w:hAnsiTheme="majorHAnsi"/>
          <w:b/>
          <w:sz w:val="32"/>
          <w:szCs w:val="28"/>
        </w:rPr>
        <w:t xml:space="preserve">Opinia Biura Analiz Sejmu RP </w:t>
      </w:r>
      <w:r w:rsidR="001777C0" w:rsidRPr="00D114A3">
        <w:rPr>
          <w:rFonts w:asciiTheme="majorHAnsi" w:hAnsiTheme="majorHAnsi"/>
          <w:b/>
          <w:sz w:val="32"/>
          <w:szCs w:val="28"/>
        </w:rPr>
        <w:t xml:space="preserve">odnośnie </w:t>
      </w:r>
      <w:r w:rsidR="00CC10F0" w:rsidRPr="00D114A3">
        <w:rPr>
          <w:rFonts w:asciiTheme="majorHAnsi" w:hAnsiTheme="majorHAnsi"/>
          <w:b/>
          <w:sz w:val="32"/>
          <w:szCs w:val="28"/>
        </w:rPr>
        <w:t>wynagrodzenia za strajk</w:t>
      </w:r>
    </w:p>
    <w:p w:rsidR="00CC10F0" w:rsidRPr="00D114A3" w:rsidRDefault="00CC10F0">
      <w:pPr>
        <w:rPr>
          <w:rFonts w:ascii="Ebrima" w:hAnsi="Ebrima"/>
          <w:b/>
          <w:sz w:val="20"/>
          <w:szCs w:val="20"/>
        </w:rPr>
      </w:pPr>
    </w:p>
    <w:p w:rsidR="002A513C" w:rsidRPr="00D114A3" w:rsidRDefault="00F55A81" w:rsidP="00152A3D">
      <w:pPr>
        <w:pStyle w:val="Akapitzlist"/>
        <w:numPr>
          <w:ilvl w:val="0"/>
          <w:numId w:val="2"/>
        </w:numPr>
        <w:ind w:left="426" w:hanging="426"/>
        <w:jc w:val="both"/>
        <w:rPr>
          <w:rFonts w:ascii="Ebrima" w:hAnsi="Ebrima"/>
          <w:b/>
        </w:rPr>
      </w:pPr>
      <w:r w:rsidRPr="00D114A3">
        <w:rPr>
          <w:rFonts w:ascii="Ebrima" w:hAnsi="Ebrima"/>
          <w:b/>
        </w:rPr>
        <w:t>Brak możliwości prawnej potrącania wynagrodzenia w wysokości 8 godzin za jeden dzień strajku</w:t>
      </w:r>
    </w:p>
    <w:p w:rsidR="00252762" w:rsidRPr="00D114A3" w:rsidRDefault="005D0B9E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>Opinia wskazuje na dwa sposoby obliczenia dziennej stawki wynagrodzenia: według Ministerstwa Edukacji Narodowej i według Głównego Inspektora Pracy.</w:t>
      </w:r>
      <w:r w:rsidR="00252762" w:rsidRPr="00D114A3">
        <w:rPr>
          <w:rFonts w:ascii="Ebrima" w:hAnsi="Ebrima"/>
          <w:sz w:val="20"/>
          <w:szCs w:val="20"/>
        </w:rPr>
        <w:t xml:space="preserve"> </w:t>
      </w:r>
    </w:p>
    <w:p w:rsidR="005D0B9E" w:rsidRPr="00D114A3" w:rsidRDefault="00252762" w:rsidP="00A6039F">
      <w:pPr>
        <w:spacing w:line="276" w:lineRule="auto"/>
        <w:ind w:left="426"/>
        <w:jc w:val="both"/>
        <w:rPr>
          <w:rFonts w:ascii="Ebrima" w:hAnsi="Ebrima"/>
          <w:b/>
          <w:sz w:val="20"/>
          <w:szCs w:val="20"/>
        </w:rPr>
      </w:pPr>
      <w:r w:rsidRPr="00D114A3">
        <w:rPr>
          <w:rFonts w:ascii="Ebrima" w:hAnsi="Ebrima"/>
          <w:b/>
          <w:sz w:val="20"/>
          <w:szCs w:val="20"/>
        </w:rPr>
        <w:t xml:space="preserve">W obu przypadkach stawka dzienna ustalana jest w odniesieniu jedynie do godzin ewidencjonowanych w ramach obowiązkowego pensum zajęć. </w:t>
      </w:r>
    </w:p>
    <w:p w:rsidR="005D0B9E" w:rsidRPr="00D114A3" w:rsidRDefault="00252762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>MEN</w:t>
      </w:r>
      <w:r w:rsidR="00D13694" w:rsidRPr="00D114A3">
        <w:rPr>
          <w:rFonts w:ascii="Ebrima" w:hAnsi="Ebrima"/>
          <w:sz w:val="20"/>
          <w:szCs w:val="20"/>
        </w:rPr>
        <w:t>:</w:t>
      </w:r>
    </w:p>
    <w:p w:rsidR="00D13694" w:rsidRPr="00D114A3" w:rsidRDefault="00D13694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>- tygodniowe pensum należy podzielić przez pięć (pięć dni pracy w tygodniu), 18 : 5 = 3,6 godzin pracy na dzień</w:t>
      </w:r>
      <w:r w:rsidR="00366F5F">
        <w:rPr>
          <w:rFonts w:ascii="Ebrima" w:hAnsi="Ebrima"/>
          <w:sz w:val="20"/>
          <w:szCs w:val="20"/>
        </w:rPr>
        <w:t>;</w:t>
      </w:r>
    </w:p>
    <w:p w:rsidR="00D13694" w:rsidRPr="00D114A3" w:rsidRDefault="00D13694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>GIP:</w:t>
      </w:r>
    </w:p>
    <w:p w:rsidR="00EB2FE0" w:rsidRPr="00D114A3" w:rsidRDefault="00D13694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 xml:space="preserve">- </w:t>
      </w:r>
      <w:r w:rsidR="00A647F8" w:rsidRPr="00D114A3">
        <w:rPr>
          <w:rFonts w:ascii="Ebrima" w:hAnsi="Ebrima"/>
          <w:sz w:val="20"/>
          <w:szCs w:val="20"/>
        </w:rPr>
        <w:t xml:space="preserve">tygodniowe pensum x 4,16 (średnia tygodni w miesiącu) </w:t>
      </w:r>
      <w:r w:rsidR="00F561A6" w:rsidRPr="00D114A3">
        <w:rPr>
          <w:rFonts w:ascii="Ebrima" w:hAnsi="Ebrima"/>
          <w:sz w:val="20"/>
          <w:szCs w:val="20"/>
        </w:rPr>
        <w:t xml:space="preserve">= 75 godzin w zaokrągleniu – liczba godzin </w:t>
      </w:r>
      <w:r w:rsidR="00F561A6" w:rsidRPr="00366F5F">
        <w:rPr>
          <w:rFonts w:ascii="Ebrima" w:hAnsi="Ebrima"/>
          <w:b/>
          <w:sz w:val="20"/>
          <w:szCs w:val="20"/>
        </w:rPr>
        <w:t>faktycznie niezrealizowanych</w:t>
      </w:r>
      <w:r w:rsidR="00F561A6" w:rsidRPr="00D114A3">
        <w:rPr>
          <w:rFonts w:ascii="Ebrima" w:hAnsi="Ebrima"/>
          <w:sz w:val="20"/>
          <w:szCs w:val="20"/>
        </w:rPr>
        <w:t xml:space="preserve"> w związku ze strajkiem.</w:t>
      </w:r>
    </w:p>
    <w:p w:rsidR="005D0B9E" w:rsidRPr="00D114A3" w:rsidRDefault="00EB2FE0" w:rsidP="00152A3D">
      <w:pPr>
        <w:pStyle w:val="Akapitzlist"/>
        <w:numPr>
          <w:ilvl w:val="0"/>
          <w:numId w:val="2"/>
        </w:numPr>
        <w:ind w:left="426" w:hanging="426"/>
        <w:jc w:val="both"/>
        <w:rPr>
          <w:rFonts w:ascii="Ebrima" w:hAnsi="Ebrima"/>
          <w:b/>
        </w:rPr>
      </w:pPr>
      <w:r w:rsidRPr="00D114A3">
        <w:rPr>
          <w:rFonts w:ascii="Ebrima" w:hAnsi="Ebrima"/>
          <w:b/>
        </w:rPr>
        <w:t>Dopuszczalność prawna nawiązywania porozumień postrajkowych</w:t>
      </w:r>
    </w:p>
    <w:p w:rsidR="006C5F05" w:rsidRPr="00D114A3" w:rsidRDefault="00D11922" w:rsidP="00366F5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>Z treści opinii BAS wynika, że p</w:t>
      </w:r>
      <w:r w:rsidR="006E502B" w:rsidRPr="00D114A3">
        <w:rPr>
          <w:rFonts w:ascii="Ebrima" w:hAnsi="Ebrima"/>
          <w:sz w:val="20"/>
          <w:szCs w:val="20"/>
        </w:rPr>
        <w:t>oroz</w:t>
      </w:r>
      <w:r w:rsidR="00E00781" w:rsidRPr="00D114A3">
        <w:rPr>
          <w:rFonts w:ascii="Ebrima" w:hAnsi="Ebrima"/>
          <w:sz w:val="20"/>
          <w:szCs w:val="20"/>
        </w:rPr>
        <w:t>umienie postrajkowe może stanowić podstawę przy</w:t>
      </w:r>
      <w:r w:rsidR="005D00FC" w:rsidRPr="00D114A3">
        <w:rPr>
          <w:rFonts w:ascii="Ebrima" w:hAnsi="Ebrima"/>
          <w:sz w:val="20"/>
          <w:szCs w:val="20"/>
        </w:rPr>
        <w:t>z</w:t>
      </w:r>
      <w:r w:rsidR="00E00781" w:rsidRPr="00D114A3">
        <w:rPr>
          <w:rFonts w:ascii="Ebrima" w:hAnsi="Ebrima"/>
          <w:sz w:val="20"/>
          <w:szCs w:val="20"/>
        </w:rPr>
        <w:t xml:space="preserve">nania wynagrodzenia za strajk, ponieważ z treści art. 23 ust. 2 </w:t>
      </w:r>
      <w:r w:rsidR="00524D4D" w:rsidRPr="00D114A3">
        <w:rPr>
          <w:rFonts w:ascii="Ebrima" w:hAnsi="Ebrima"/>
          <w:sz w:val="20"/>
          <w:szCs w:val="20"/>
        </w:rPr>
        <w:t xml:space="preserve">ustawy </w:t>
      </w:r>
      <w:r w:rsidR="00524D4D" w:rsidRPr="00D114A3">
        <w:rPr>
          <w:rFonts w:ascii="Ebrima" w:hAnsi="Ebrima"/>
          <w:i/>
          <w:sz w:val="20"/>
          <w:szCs w:val="20"/>
        </w:rPr>
        <w:t>o rozwiązywaniu sporów zbiorowych</w:t>
      </w:r>
      <w:r w:rsidR="00524D4D" w:rsidRPr="00D114A3">
        <w:rPr>
          <w:rFonts w:ascii="Ebrima" w:hAnsi="Ebrima"/>
          <w:sz w:val="20"/>
          <w:szCs w:val="20"/>
        </w:rPr>
        <w:t xml:space="preserve"> (</w:t>
      </w:r>
      <w:r w:rsidR="00E00781" w:rsidRPr="00D114A3">
        <w:rPr>
          <w:rFonts w:ascii="Ebrima" w:hAnsi="Ebrima"/>
          <w:sz w:val="20"/>
          <w:szCs w:val="20"/>
        </w:rPr>
        <w:t>u.r.s.z.</w:t>
      </w:r>
      <w:r w:rsidR="00524D4D" w:rsidRPr="00D114A3">
        <w:rPr>
          <w:rFonts w:ascii="Ebrima" w:hAnsi="Ebrima"/>
          <w:sz w:val="20"/>
          <w:szCs w:val="20"/>
        </w:rPr>
        <w:t>)</w:t>
      </w:r>
      <w:r w:rsidR="00E00781" w:rsidRPr="00D114A3">
        <w:rPr>
          <w:rFonts w:ascii="Ebrima" w:hAnsi="Ebrima"/>
          <w:sz w:val="20"/>
          <w:szCs w:val="20"/>
        </w:rPr>
        <w:t xml:space="preserve"> </w:t>
      </w:r>
      <w:r w:rsidR="00E00781" w:rsidRPr="00366F5F">
        <w:rPr>
          <w:rFonts w:ascii="Ebrima" w:hAnsi="Ebrima"/>
          <w:b/>
          <w:sz w:val="20"/>
          <w:szCs w:val="20"/>
        </w:rPr>
        <w:t>nie wynika zakaz</w:t>
      </w:r>
      <w:r w:rsidR="00E00781" w:rsidRPr="00D114A3">
        <w:rPr>
          <w:rFonts w:ascii="Ebrima" w:hAnsi="Ebrima"/>
          <w:sz w:val="20"/>
          <w:szCs w:val="20"/>
        </w:rPr>
        <w:t xml:space="preserve"> dl</w:t>
      </w:r>
      <w:r w:rsidR="00366F5F">
        <w:rPr>
          <w:rFonts w:ascii="Ebrima" w:hAnsi="Ebrima"/>
          <w:sz w:val="20"/>
          <w:szCs w:val="20"/>
        </w:rPr>
        <w:t>a zawarcia takiego porozumienia</w:t>
      </w:r>
      <w:r w:rsidR="005D00FC" w:rsidRPr="00D114A3">
        <w:rPr>
          <w:rFonts w:ascii="Ebrima" w:hAnsi="Ebrima"/>
          <w:sz w:val="20"/>
          <w:szCs w:val="20"/>
        </w:rPr>
        <w:t xml:space="preserve">, ale jedynie </w:t>
      </w:r>
      <w:r w:rsidR="005D00FC" w:rsidRPr="00366F5F">
        <w:rPr>
          <w:rFonts w:ascii="Ebrima" w:hAnsi="Ebrima"/>
          <w:b/>
          <w:sz w:val="20"/>
          <w:szCs w:val="20"/>
        </w:rPr>
        <w:t>brak możliwości żądania</w:t>
      </w:r>
      <w:r w:rsidR="005D00FC" w:rsidRPr="00D114A3">
        <w:rPr>
          <w:rFonts w:ascii="Ebrima" w:hAnsi="Ebrima"/>
          <w:sz w:val="20"/>
          <w:szCs w:val="20"/>
        </w:rPr>
        <w:t xml:space="preserve"> od pracodawcy wynagrodzenia za czas strajku przez pracownika. </w:t>
      </w:r>
    </w:p>
    <w:p w:rsidR="00E00781" w:rsidRPr="00D114A3" w:rsidRDefault="00F26EDF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 xml:space="preserve">Pracodawca może w ramach porozumienia ze związkiem zawodowym zapewnić wynagrodzenie </w:t>
      </w:r>
      <w:r w:rsidR="006C5F05" w:rsidRPr="00D114A3">
        <w:rPr>
          <w:rFonts w:ascii="Ebrima" w:hAnsi="Ebrima"/>
          <w:sz w:val="20"/>
          <w:szCs w:val="20"/>
        </w:rPr>
        <w:t xml:space="preserve">za strajk </w:t>
      </w:r>
      <w:r w:rsidRPr="00D114A3">
        <w:rPr>
          <w:rFonts w:ascii="Ebrima" w:hAnsi="Ebrima"/>
          <w:sz w:val="20"/>
          <w:szCs w:val="20"/>
        </w:rPr>
        <w:t xml:space="preserve">nawet w </w:t>
      </w:r>
      <w:r w:rsidR="006C5F05" w:rsidRPr="00D114A3">
        <w:rPr>
          <w:rFonts w:ascii="Ebrima" w:hAnsi="Ebrima"/>
          <w:sz w:val="20"/>
          <w:szCs w:val="20"/>
        </w:rPr>
        <w:t xml:space="preserve">sytuacji, gdy zgodnie z ustawą takie prawo pracownikowi nie przysługuje. </w:t>
      </w:r>
    </w:p>
    <w:p w:rsidR="00FE44CE" w:rsidRPr="00D114A3" w:rsidRDefault="00FE44CE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 xml:space="preserve">W porozumieniu kończącym strajk pracodawca może się zobowiązać do wypłaty </w:t>
      </w:r>
      <w:r w:rsidR="007E35A6" w:rsidRPr="00D114A3">
        <w:rPr>
          <w:rFonts w:ascii="Ebrima" w:hAnsi="Ebrima"/>
          <w:sz w:val="20"/>
          <w:szCs w:val="20"/>
        </w:rPr>
        <w:t xml:space="preserve">wynagrodzenia za czas strajku. </w:t>
      </w:r>
    </w:p>
    <w:p w:rsidR="00524D4D" w:rsidRPr="00D114A3" w:rsidRDefault="00524D4D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 xml:space="preserve">Prawo takie wywiedziono z treści art. 59 ust. 2 Konstytucji RP w zw. z art. 9 § 1 k.p., art. 9 i art. 14 u.r.s.z., art. 4 Konwencji MOP, art. 21 ustawy o związkach zawodowych. </w:t>
      </w:r>
    </w:p>
    <w:p w:rsidR="006F7611" w:rsidRPr="00D114A3" w:rsidRDefault="00E167D0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 xml:space="preserve">Możliwość nawiązania porozumienia postrajkowego została potwierdzona przywołaniem orzecznictwa Sądu Najwyższego oraz </w:t>
      </w:r>
      <w:r w:rsidR="00CC10F0" w:rsidRPr="00D114A3">
        <w:rPr>
          <w:rFonts w:ascii="Ebrima" w:hAnsi="Ebrima"/>
          <w:sz w:val="20"/>
          <w:szCs w:val="20"/>
        </w:rPr>
        <w:t xml:space="preserve">dorobku </w:t>
      </w:r>
      <w:r w:rsidRPr="00D114A3">
        <w:rPr>
          <w:rFonts w:ascii="Ebrima" w:hAnsi="Ebrima"/>
          <w:sz w:val="20"/>
          <w:szCs w:val="20"/>
        </w:rPr>
        <w:t>nauki prawa pracy.</w:t>
      </w:r>
    </w:p>
    <w:p w:rsidR="007E35A6" w:rsidRPr="00D114A3" w:rsidRDefault="007E35A6" w:rsidP="007E35A6">
      <w:pPr>
        <w:pStyle w:val="Akapitzlist"/>
        <w:numPr>
          <w:ilvl w:val="0"/>
          <w:numId w:val="2"/>
        </w:numPr>
        <w:ind w:left="426" w:hanging="426"/>
        <w:jc w:val="both"/>
        <w:rPr>
          <w:rFonts w:ascii="Ebrima" w:hAnsi="Ebrima"/>
          <w:b/>
        </w:rPr>
      </w:pPr>
      <w:r w:rsidRPr="00D114A3">
        <w:rPr>
          <w:rFonts w:ascii="Ebrima" w:hAnsi="Ebrima"/>
          <w:b/>
        </w:rPr>
        <w:t>Dopuszczalność prawna nawiązywania porozumień przed zakończeniem strajku</w:t>
      </w:r>
    </w:p>
    <w:p w:rsidR="007E35A6" w:rsidRPr="00D114A3" w:rsidRDefault="00D11922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 xml:space="preserve">Z treści opinii BAS wynika także, że porozumienie dotyczące utrzymania prawa do wynagrodzenia za okres strajku może być nawiązane także </w:t>
      </w:r>
      <w:r w:rsidRPr="006E72B5">
        <w:rPr>
          <w:rFonts w:ascii="Ebrima" w:hAnsi="Ebrima"/>
          <w:b/>
          <w:sz w:val="20"/>
          <w:szCs w:val="20"/>
        </w:rPr>
        <w:t>przed zakończeniem akcji strajkowej</w:t>
      </w:r>
      <w:r w:rsidRPr="00D114A3">
        <w:rPr>
          <w:rFonts w:ascii="Ebrima" w:hAnsi="Ebrima"/>
          <w:sz w:val="20"/>
          <w:szCs w:val="20"/>
        </w:rPr>
        <w:t xml:space="preserve">. </w:t>
      </w:r>
    </w:p>
    <w:p w:rsidR="00D11922" w:rsidRPr="00D114A3" w:rsidRDefault="00D11922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>Tak więc porozumienia takie mogą być nawiązywane także np. w sytuacji zawieszenia strajku.</w:t>
      </w:r>
    </w:p>
    <w:p w:rsidR="007B5DCC" w:rsidRPr="00D114A3" w:rsidRDefault="007B5DCC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>Prawo takie wywiedziono z treści art. 59 ust. 2 Konstytucji RP w zw. z art. 9 § 1 k.p., art. 9 i art. 14 u.r.s.z., art.</w:t>
      </w:r>
      <w:r w:rsidR="00524D4D" w:rsidRPr="00D114A3">
        <w:rPr>
          <w:rFonts w:ascii="Ebrima" w:hAnsi="Ebrima"/>
          <w:sz w:val="20"/>
          <w:szCs w:val="20"/>
        </w:rPr>
        <w:t xml:space="preserve"> 4 Konwencji MOP, art. 21 ustawy o związkach zawodowych.</w:t>
      </w:r>
      <w:r w:rsidRPr="00D114A3">
        <w:rPr>
          <w:rFonts w:ascii="Ebrima" w:hAnsi="Ebrima"/>
          <w:sz w:val="20"/>
          <w:szCs w:val="20"/>
        </w:rPr>
        <w:t xml:space="preserve"> </w:t>
      </w:r>
    </w:p>
    <w:p w:rsidR="00D11922" w:rsidRPr="00D114A3" w:rsidRDefault="00987F27" w:rsidP="00A6039F">
      <w:pPr>
        <w:spacing w:line="276" w:lineRule="auto"/>
        <w:ind w:left="426"/>
        <w:jc w:val="both"/>
        <w:rPr>
          <w:rFonts w:ascii="Ebrima" w:hAnsi="Ebrima"/>
          <w:b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 xml:space="preserve">Jako przykład podano porozumienie zawarte w dniu 8 czerwca 2016 r. pomiędzy Instytutem „Pomnik Centrum Zdrowia Dziecka” w Warszawie a </w:t>
      </w:r>
      <w:r w:rsidR="00F26EDF" w:rsidRPr="00D114A3">
        <w:rPr>
          <w:rFonts w:ascii="Ebrima" w:hAnsi="Ebrima"/>
          <w:sz w:val="20"/>
          <w:szCs w:val="20"/>
        </w:rPr>
        <w:t>OPZZ.</w:t>
      </w:r>
    </w:p>
    <w:p w:rsidR="005D0B9E" w:rsidRPr="00D114A3" w:rsidRDefault="00460F06" w:rsidP="00152A3D">
      <w:pPr>
        <w:pStyle w:val="Akapitzlist"/>
        <w:numPr>
          <w:ilvl w:val="0"/>
          <w:numId w:val="2"/>
        </w:numPr>
        <w:ind w:left="426" w:hanging="426"/>
        <w:jc w:val="both"/>
        <w:rPr>
          <w:rFonts w:ascii="Ebrima" w:hAnsi="Ebrima"/>
          <w:b/>
        </w:rPr>
      </w:pPr>
      <w:r w:rsidRPr="00D114A3">
        <w:rPr>
          <w:rFonts w:ascii="Ebrima" w:hAnsi="Ebrima"/>
          <w:b/>
        </w:rPr>
        <w:lastRenderedPageBreak/>
        <w:t>Porozumienie w sprawie wynagrodzenia za czas strajku nie naruszają dyscypliny finansów publicznych</w:t>
      </w:r>
    </w:p>
    <w:p w:rsidR="00D17780" w:rsidRPr="00D114A3" w:rsidRDefault="00D17780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>Porozumienie w sprawie wynagrodzenia za czas strajku nie narusza ustawy o finansach publicznych, jak również nie stanowi naruszenia dyscypliny finansów publicznych.</w:t>
      </w:r>
    </w:p>
    <w:p w:rsidR="00876D10" w:rsidRPr="00D114A3" w:rsidRDefault="00876D10" w:rsidP="00A6039F">
      <w:pPr>
        <w:spacing w:line="276" w:lineRule="auto"/>
        <w:ind w:left="426"/>
        <w:jc w:val="both"/>
        <w:rPr>
          <w:rFonts w:ascii="Ebrima" w:hAnsi="Ebrima"/>
          <w:color w:val="333333"/>
          <w:sz w:val="20"/>
          <w:szCs w:val="20"/>
          <w:shd w:val="clear" w:color="auto" w:fill="FFFFFF"/>
        </w:rPr>
      </w:pPr>
      <w:r w:rsidRPr="00D114A3">
        <w:rPr>
          <w:rFonts w:ascii="Ebrima" w:hAnsi="Ebrima"/>
          <w:sz w:val="20"/>
          <w:szCs w:val="20"/>
        </w:rPr>
        <w:t xml:space="preserve">Porozumienie w sprawie wynagrodzenia za czas strajku mogą być kwalifikowane jako stanowiące odrębny tytuł prawny do dokonywania rozporządzeń finansowych, zgodnie z art. 44 ust. 2 ustawy </w:t>
      </w:r>
      <w:r w:rsidRPr="0002366F">
        <w:rPr>
          <w:rFonts w:ascii="Ebrima" w:hAnsi="Ebrima"/>
          <w:i/>
          <w:sz w:val="20"/>
          <w:szCs w:val="20"/>
        </w:rPr>
        <w:t>o finansach publicznych</w:t>
      </w:r>
      <w:r w:rsidRPr="00D114A3">
        <w:rPr>
          <w:rFonts w:ascii="Ebrima" w:hAnsi="Ebrima"/>
          <w:sz w:val="20"/>
          <w:szCs w:val="20"/>
        </w:rPr>
        <w:t xml:space="preserve"> </w:t>
      </w:r>
      <w:r w:rsidR="002F2A95" w:rsidRPr="00D114A3">
        <w:rPr>
          <w:rFonts w:ascii="Ebrima" w:hAnsi="Ebrima"/>
          <w:sz w:val="20"/>
          <w:szCs w:val="20"/>
        </w:rPr>
        <w:t>(„</w:t>
      </w:r>
      <w:r w:rsidR="002F2A95" w:rsidRPr="0002366F">
        <w:rPr>
          <w:rFonts w:ascii="Ebrima" w:hAnsi="Ebrima"/>
          <w:i/>
          <w:sz w:val="20"/>
          <w:szCs w:val="20"/>
        </w:rPr>
        <w:t>j</w:t>
      </w:r>
      <w:r w:rsidR="002F2A95" w:rsidRPr="0002366F">
        <w:rPr>
          <w:rFonts w:ascii="Ebrima" w:hAnsi="Ebrima"/>
          <w:i/>
          <w:color w:val="333333"/>
          <w:sz w:val="20"/>
          <w:szCs w:val="20"/>
          <w:shd w:val="clear" w:color="auto" w:fill="FFFFFF"/>
        </w:rPr>
        <w:t>ednostki sektora finansów publicznych dokonują wydatków zgodnie z przepisami dotyczącymi poszczególnych rodzajów wydatków</w:t>
      </w:r>
      <w:r w:rsidR="002F2A95" w:rsidRPr="00D114A3">
        <w:rPr>
          <w:rFonts w:ascii="Ebrima" w:hAnsi="Ebrima"/>
          <w:color w:val="333333"/>
          <w:sz w:val="20"/>
          <w:szCs w:val="20"/>
          <w:shd w:val="clear" w:color="auto" w:fill="FFFFFF"/>
        </w:rPr>
        <w:t>”).</w:t>
      </w:r>
    </w:p>
    <w:p w:rsidR="002F2A95" w:rsidRPr="00D114A3" w:rsidRDefault="0073337A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color w:val="333333"/>
          <w:sz w:val="20"/>
          <w:szCs w:val="20"/>
          <w:shd w:val="clear" w:color="auto" w:fill="FFFFFF"/>
        </w:rPr>
        <w:t xml:space="preserve">Jednocześnie art. 46 ust. 1 </w:t>
      </w:r>
      <w:r w:rsidRPr="00D114A3">
        <w:rPr>
          <w:rFonts w:ascii="Ebrima" w:hAnsi="Ebrima"/>
          <w:sz w:val="20"/>
          <w:szCs w:val="20"/>
        </w:rPr>
        <w:t xml:space="preserve">ustawy </w:t>
      </w:r>
      <w:r w:rsidRPr="00D27BD9">
        <w:rPr>
          <w:rFonts w:ascii="Ebrima" w:hAnsi="Ebrima"/>
          <w:i/>
          <w:sz w:val="20"/>
          <w:szCs w:val="20"/>
        </w:rPr>
        <w:t>o finansach publicznych</w:t>
      </w:r>
      <w:r w:rsidRPr="00D114A3">
        <w:rPr>
          <w:rFonts w:ascii="Ebrima" w:hAnsi="Ebrima"/>
          <w:sz w:val="20"/>
          <w:szCs w:val="20"/>
        </w:rPr>
        <w:t xml:space="preserve"> nie stoi na przeszkodzie zawarciu porozumienia zbiorowego, którego postanowienia wprowadzają skutki finansowe dla danej jednostki sektora finansów publicznych nie tylko na dany rok, ale i na przyszłe lata. </w:t>
      </w:r>
    </w:p>
    <w:p w:rsidR="00437D92" w:rsidRPr="00D114A3" w:rsidRDefault="00437D92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 xml:space="preserve">Warunkiem jest, aby zobowiązanie pracodawcy obejmowało kwotę do wysokości wynikającej z planu finansowego w zakresie wydatków na wynagrodzenia. </w:t>
      </w:r>
    </w:p>
    <w:p w:rsidR="00460F06" w:rsidRPr="00D114A3" w:rsidRDefault="00CC10F0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>Zgodność porozumień postrajkowego w kontekście wymogu zachowania dyscypliny finansów publicznych została potwierdzona przywołaniem orzecznictwa Sądu Najwyższego oraz dorobku nauki prawa pracy.</w:t>
      </w:r>
    </w:p>
    <w:p w:rsidR="00484770" w:rsidRPr="00D114A3" w:rsidRDefault="00484770" w:rsidP="00484770">
      <w:pPr>
        <w:pStyle w:val="Akapitzlist"/>
        <w:numPr>
          <w:ilvl w:val="0"/>
          <w:numId w:val="2"/>
        </w:numPr>
        <w:ind w:left="426" w:hanging="426"/>
        <w:jc w:val="both"/>
        <w:rPr>
          <w:rFonts w:ascii="Ebrima" w:hAnsi="Ebrima"/>
          <w:b/>
        </w:rPr>
      </w:pPr>
      <w:r w:rsidRPr="00D114A3">
        <w:rPr>
          <w:rFonts w:ascii="Ebrima" w:hAnsi="Ebrima"/>
          <w:b/>
        </w:rPr>
        <w:t>Zawarcie porozumienie w sprawie wynagrodzenia za czas strajku po dokonaniu potrącenia nie narusza dyscypliny finansów publicznych</w:t>
      </w:r>
    </w:p>
    <w:p w:rsidR="00484770" w:rsidRPr="00D114A3" w:rsidRDefault="006C0B5D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 xml:space="preserve">W opinii BAS podniesiono także kwestię dopuszczalności normatywnej i zgodności z dyscypliną finansów publicznych porozumień postrajkowych, </w:t>
      </w:r>
      <w:r w:rsidRPr="00D114A3">
        <w:rPr>
          <w:rFonts w:ascii="Ebrima" w:hAnsi="Ebrima"/>
          <w:b/>
          <w:sz w:val="20"/>
          <w:szCs w:val="20"/>
        </w:rPr>
        <w:t>zawieranych po dokonaniu potrącenia</w:t>
      </w:r>
      <w:r w:rsidR="001C47F3" w:rsidRPr="00D114A3">
        <w:rPr>
          <w:rFonts w:ascii="Ebrima" w:hAnsi="Ebrima"/>
          <w:sz w:val="20"/>
          <w:szCs w:val="20"/>
        </w:rPr>
        <w:t xml:space="preserve"> wynagrodzenia za czas strajku</w:t>
      </w:r>
      <w:r w:rsidRPr="00D114A3">
        <w:rPr>
          <w:rFonts w:ascii="Ebrima" w:hAnsi="Ebrima"/>
          <w:sz w:val="20"/>
          <w:szCs w:val="20"/>
        </w:rPr>
        <w:t xml:space="preserve"> </w:t>
      </w:r>
      <w:r w:rsidR="001C47F3" w:rsidRPr="00D114A3">
        <w:rPr>
          <w:rFonts w:ascii="Ebrima" w:hAnsi="Ebrima"/>
          <w:sz w:val="20"/>
          <w:szCs w:val="20"/>
        </w:rPr>
        <w:t>przez pracodawcę.</w:t>
      </w:r>
    </w:p>
    <w:p w:rsidR="00AC744B" w:rsidRPr="00D114A3" w:rsidRDefault="00F15379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 xml:space="preserve">Z opinii BAS wynika, że </w:t>
      </w:r>
      <w:r w:rsidR="002932ED" w:rsidRPr="00D114A3">
        <w:rPr>
          <w:rFonts w:ascii="Ebrima" w:hAnsi="Ebrima"/>
          <w:sz w:val="20"/>
          <w:szCs w:val="20"/>
        </w:rPr>
        <w:t xml:space="preserve">takie zawieranie tego typu porozumień jest również dopuszczalne </w:t>
      </w:r>
      <w:r w:rsidR="001A2822" w:rsidRPr="00D114A3">
        <w:rPr>
          <w:rFonts w:ascii="Ebrima" w:hAnsi="Ebrima"/>
          <w:sz w:val="20"/>
          <w:szCs w:val="20"/>
        </w:rPr>
        <w:t>prawnie. W opinii określano je mianem „innych porozumień”</w:t>
      </w:r>
      <w:r w:rsidR="006720AC" w:rsidRPr="00D114A3">
        <w:rPr>
          <w:rFonts w:ascii="Ebrima" w:hAnsi="Ebrima"/>
          <w:sz w:val="20"/>
          <w:szCs w:val="20"/>
        </w:rPr>
        <w:t xml:space="preserve"> stanowiących źródło prawa pracy na równi z normami ustawowymi. </w:t>
      </w:r>
      <w:r w:rsidR="00AC744B" w:rsidRPr="00D114A3">
        <w:rPr>
          <w:rFonts w:ascii="Ebrima" w:hAnsi="Ebrima"/>
          <w:sz w:val="20"/>
          <w:szCs w:val="20"/>
        </w:rPr>
        <w:t>Tym samym porozumienie w sprawie wynagrodzenia za czas strajku po potrąceniu wynagrodzenia przez pracodawcę nie narusza ustawy o finansach publicznych, jak również nie stanowi naruszenia dyscypliny finansów publicznych.</w:t>
      </w:r>
    </w:p>
    <w:p w:rsidR="00F15379" w:rsidRPr="00D114A3" w:rsidRDefault="006720AC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 xml:space="preserve">Prawo takie wywiedziono z treści art. 59 ust. 2 i 4 Konstytucji RP w zw. z art. 9 § 1 k.p. </w:t>
      </w:r>
    </w:p>
    <w:p w:rsidR="006720AC" w:rsidRPr="00D114A3" w:rsidRDefault="006720AC" w:rsidP="00A6039F">
      <w:pPr>
        <w:spacing w:line="276" w:lineRule="auto"/>
        <w:ind w:left="426"/>
        <w:jc w:val="both"/>
        <w:rPr>
          <w:rFonts w:ascii="Ebrima" w:hAnsi="Ebrima"/>
          <w:sz w:val="20"/>
          <w:szCs w:val="20"/>
        </w:rPr>
      </w:pPr>
      <w:r w:rsidRPr="00D114A3">
        <w:rPr>
          <w:rFonts w:ascii="Ebrima" w:hAnsi="Ebrima"/>
          <w:sz w:val="20"/>
          <w:szCs w:val="20"/>
        </w:rPr>
        <w:t>Zgodność porozumień postrajkowego w kontekście wymogu zachowania dyscypliny finansów publicznych została potwierdzona przywołaniem orzecznictwa Sądu Najwyższego oraz dorobku nauki prawa pracy.</w:t>
      </w:r>
    </w:p>
    <w:bookmarkEnd w:id="0"/>
    <w:p w:rsidR="005D0B9E" w:rsidRPr="00D114A3" w:rsidRDefault="005D0B9E" w:rsidP="00A6039F">
      <w:pPr>
        <w:ind w:left="426"/>
        <w:jc w:val="both"/>
        <w:rPr>
          <w:rFonts w:ascii="Ebrima" w:hAnsi="Ebrima"/>
          <w:b/>
          <w:sz w:val="20"/>
          <w:szCs w:val="20"/>
        </w:rPr>
      </w:pPr>
    </w:p>
    <w:sectPr w:rsidR="005D0B9E" w:rsidRPr="00D11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B73A1"/>
    <w:multiLevelType w:val="hybridMultilevel"/>
    <w:tmpl w:val="805A8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C4C58"/>
    <w:multiLevelType w:val="hybridMultilevel"/>
    <w:tmpl w:val="A2983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3C"/>
    <w:rsid w:val="0002366F"/>
    <w:rsid w:val="00152A3D"/>
    <w:rsid w:val="001777C0"/>
    <w:rsid w:val="001A2822"/>
    <w:rsid w:val="001C47F3"/>
    <w:rsid w:val="00252762"/>
    <w:rsid w:val="00272792"/>
    <w:rsid w:val="002932ED"/>
    <w:rsid w:val="002A513C"/>
    <w:rsid w:val="002F2A95"/>
    <w:rsid w:val="00366F5F"/>
    <w:rsid w:val="003C15CE"/>
    <w:rsid w:val="00437D92"/>
    <w:rsid w:val="00460F06"/>
    <w:rsid w:val="00484770"/>
    <w:rsid w:val="004904BD"/>
    <w:rsid w:val="00524D4D"/>
    <w:rsid w:val="005D00FC"/>
    <w:rsid w:val="005D0B9E"/>
    <w:rsid w:val="006720AC"/>
    <w:rsid w:val="006C0B5D"/>
    <w:rsid w:val="006C5F05"/>
    <w:rsid w:val="006E502B"/>
    <w:rsid w:val="006E72B5"/>
    <w:rsid w:val="006F7611"/>
    <w:rsid w:val="0073337A"/>
    <w:rsid w:val="007B5DCC"/>
    <w:rsid w:val="007E35A6"/>
    <w:rsid w:val="00876D10"/>
    <w:rsid w:val="00932055"/>
    <w:rsid w:val="00987F27"/>
    <w:rsid w:val="009E070C"/>
    <w:rsid w:val="00A6039F"/>
    <w:rsid w:val="00A647F8"/>
    <w:rsid w:val="00AC744B"/>
    <w:rsid w:val="00B57574"/>
    <w:rsid w:val="00BF31A6"/>
    <w:rsid w:val="00C864AB"/>
    <w:rsid w:val="00CC10F0"/>
    <w:rsid w:val="00D05EBC"/>
    <w:rsid w:val="00D114A3"/>
    <w:rsid w:val="00D11922"/>
    <w:rsid w:val="00D13694"/>
    <w:rsid w:val="00D17780"/>
    <w:rsid w:val="00D27BD9"/>
    <w:rsid w:val="00E00781"/>
    <w:rsid w:val="00E167D0"/>
    <w:rsid w:val="00EB2FE0"/>
    <w:rsid w:val="00F15379"/>
    <w:rsid w:val="00F26EDF"/>
    <w:rsid w:val="00F55A81"/>
    <w:rsid w:val="00F561A6"/>
    <w:rsid w:val="00F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9196F-5A1A-4ADB-96B5-8B5E974C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A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7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KLisowski</dc:creator>
  <cp:keywords/>
  <dc:description/>
  <cp:lastModifiedBy>MKaszulanis</cp:lastModifiedBy>
  <cp:revision>2</cp:revision>
  <cp:lastPrinted>2019-07-01T11:30:00Z</cp:lastPrinted>
  <dcterms:created xsi:type="dcterms:W3CDTF">2019-07-04T06:48:00Z</dcterms:created>
  <dcterms:modified xsi:type="dcterms:W3CDTF">2019-07-04T06:48:00Z</dcterms:modified>
</cp:coreProperties>
</file>